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4909" w14:textId="77777777" w:rsidR="00856380" w:rsidRPr="00B64D4A" w:rsidRDefault="00856380" w:rsidP="005D69F3">
      <w:pPr>
        <w:pStyle w:val="naisvisr"/>
        <w:spacing w:before="0" w:after="0"/>
        <w:rPr>
          <w:spacing w:val="-4"/>
        </w:rPr>
      </w:pPr>
      <w:r w:rsidRPr="00B64D4A">
        <w:rPr>
          <w:spacing w:val="-4"/>
        </w:rPr>
        <w:t xml:space="preserve">Ministru kabineta noteikumu projekta </w:t>
      </w:r>
      <w:r w:rsidRPr="00B64D4A">
        <w:rPr>
          <w:spacing w:val="-4"/>
        </w:rPr>
        <w:br/>
        <w:t>"</w:t>
      </w:r>
      <w:bookmarkStart w:id="0" w:name="OLE_LINK5"/>
      <w:bookmarkStart w:id="1" w:name="OLE_LINK6"/>
      <w:r w:rsidRPr="00B64D4A">
        <w:rPr>
          <w:spacing w:val="-4"/>
        </w:rPr>
        <w:t>Grozījumi Ministru kabineta 2010.gada 30.novembra noteikumos Nr.1075 "</w:t>
      </w:r>
      <w:bookmarkStart w:id="2" w:name="OLE_LINK3"/>
      <w:bookmarkStart w:id="3" w:name="OLE_LINK4"/>
      <w:r w:rsidRPr="00B64D4A">
        <w:rPr>
          <w:spacing w:val="-4"/>
        </w:rPr>
        <w:t>Valsts un pašvaldību institūciju amatu katalogs</w:t>
      </w:r>
      <w:bookmarkEnd w:id="2"/>
      <w:bookmarkEnd w:id="3"/>
      <w:r w:rsidRPr="00B64D4A">
        <w:rPr>
          <w:spacing w:val="-4"/>
        </w:rPr>
        <w:t>"</w:t>
      </w:r>
      <w:bookmarkEnd w:id="0"/>
      <w:bookmarkEnd w:id="1"/>
      <w:r w:rsidRPr="00B64D4A">
        <w:rPr>
          <w:spacing w:val="-4"/>
        </w:rPr>
        <w:t>" sākotnējās ietekmes novērtējuma ziņojums (anotācija)</w:t>
      </w:r>
    </w:p>
    <w:p w14:paraId="783D490A" w14:textId="77777777" w:rsidR="00856380" w:rsidRPr="0014143C" w:rsidRDefault="00856380" w:rsidP="003C7568">
      <w:pPr>
        <w:pStyle w:val="naisvisr"/>
        <w:spacing w:before="0" w:after="0"/>
      </w:pPr>
    </w:p>
    <w:tbl>
      <w:tblPr>
        <w:tblW w:w="50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1"/>
        <w:gridCol w:w="50"/>
        <w:gridCol w:w="2941"/>
        <w:gridCol w:w="9"/>
        <w:gridCol w:w="5852"/>
      </w:tblGrid>
      <w:tr w:rsidR="00856380" w:rsidRPr="0014143C" w14:paraId="783D490C" w14:textId="77777777" w:rsidTr="00906DC5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83D490B" w14:textId="77777777" w:rsidR="00856380" w:rsidRPr="0014143C" w:rsidRDefault="00856380" w:rsidP="00727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56380" w:rsidRPr="0014143C" w14:paraId="783D4910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0D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0E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0F" w14:textId="469D2A38" w:rsidR="00856380" w:rsidRPr="00BF608F" w:rsidRDefault="007E47C5" w:rsidP="007E4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47C5">
              <w:rPr>
                <w:rFonts w:ascii="Times New Roman" w:hAnsi="Times New Roman"/>
                <w:sz w:val="24"/>
                <w:szCs w:val="24"/>
              </w:rPr>
              <w:t>2011.gada</w:t>
            </w:r>
            <w:proofErr w:type="spellEnd"/>
            <w:r w:rsidRPr="007E4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7C5">
              <w:rPr>
                <w:rFonts w:ascii="Times New Roman" w:hAnsi="Times New Roman"/>
                <w:sz w:val="24"/>
                <w:szCs w:val="24"/>
              </w:rPr>
              <w:t>15.decembr</w:t>
            </w:r>
            <w:r w:rsidRPr="007E47C5">
              <w:rPr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pieņemtais</w:t>
            </w:r>
            <w:r w:rsidRPr="00BF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F" w:rsidRPr="00BF608F">
              <w:rPr>
                <w:rFonts w:ascii="Times New Roman" w:hAnsi="Times New Roman"/>
                <w:sz w:val="24"/>
                <w:szCs w:val="24"/>
              </w:rPr>
              <w:t>likums "Grozījumi Valsts un pašvaldību institūciju amatpersonu un darbinieku atlīdzības likumā" (L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atvijas </w:t>
            </w:r>
            <w:r w:rsidR="00BF608F" w:rsidRPr="00BF608F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ēstnesis</w:t>
            </w:r>
            <w:r w:rsidR="00BF608F" w:rsidRPr="00BF60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2011, </w:t>
            </w:r>
            <w:proofErr w:type="spellStart"/>
            <w:r w:rsidR="00BF608F" w:rsidRPr="00BF608F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.nr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="00BF608F" w:rsidRPr="00BF608F">
              <w:rPr>
                <w:rFonts w:ascii="Times New Roman" w:hAnsi="Times New Roman"/>
                <w:sz w:val="24"/>
                <w:szCs w:val="24"/>
              </w:rPr>
              <w:t>29.12.2011.)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6380" w:rsidRPr="0014143C" w14:paraId="783D4915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1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2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13" w14:textId="1D641082" w:rsidR="00E225E7" w:rsidRDefault="00856380" w:rsidP="008250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Kopš 2011.gada 1.janvāra pašvaldībās ir ieviesta darba samaksas sistēma, kas balstās uz amatu klasifikāciju. </w:t>
            </w:r>
            <w:r w:rsidR="008239AA">
              <w:rPr>
                <w:rFonts w:ascii="Times New Roman" w:hAnsi="Times New Roman"/>
                <w:spacing w:val="-6"/>
                <w:sz w:val="24"/>
                <w:szCs w:val="24"/>
              </w:rPr>
              <w:t>Latvijas Pa</w:t>
            </w:r>
            <w:r w:rsidR="00C65F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švaldību savienība un </w:t>
            </w:r>
            <w:r w:rsidR="008239AA">
              <w:rPr>
                <w:rFonts w:ascii="Times New Roman" w:hAnsi="Times New Roman"/>
                <w:spacing w:val="-6"/>
                <w:sz w:val="24"/>
                <w:szCs w:val="24"/>
              </w:rPr>
              <w:t>atsevišķas</w:t>
            </w:r>
            <w:r w:rsidR="00C65F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pašvaldības ir vērsušās Valsts kancelejā ar lūgumu </w:t>
            </w:r>
            <w:r w:rsidR="00C65F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veikt papildinājumus un grozījumus </w:t>
            </w:r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</w:t>
            </w:r>
            <w:proofErr w:type="spellStart"/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>2010.gada</w:t>
            </w:r>
            <w:proofErr w:type="spellEnd"/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FB3" w:rsidRPr="005F5B5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>novembra</w:t>
            </w:r>
            <w:proofErr w:type="spellEnd"/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 xml:space="preserve"> noteikum</w:t>
            </w:r>
            <w:r w:rsidR="00C65FB3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r w:rsidR="00C65F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65FB3" w:rsidRPr="005F5B5B">
              <w:rPr>
                <w:rFonts w:ascii="Times New Roman" w:eastAsia="Times New Roman" w:hAnsi="Times New Roman"/>
                <w:sz w:val="24"/>
                <w:szCs w:val="24"/>
              </w:rPr>
              <w:t>1075</w:t>
            </w:r>
            <w:proofErr w:type="spellEnd"/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C65FB3" w:rsidRPr="00C65FB3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C65FB3" w:rsidRPr="005F5B5B">
              <w:rPr>
                <w:rFonts w:ascii="Times New Roman" w:eastAsia="Times New Roman" w:hAnsi="Times New Roman"/>
                <w:bCs/>
                <w:sz w:val="24"/>
                <w:szCs w:val="24"/>
              </w:rPr>
              <w:t>alsts un pašvaldību institūciju amatu katalogs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C65F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(turpmāk – Amatu </w:t>
            </w:r>
            <w:r w:rsidR="00E225E7">
              <w:rPr>
                <w:rFonts w:ascii="Times New Roman" w:eastAsia="Times New Roman" w:hAnsi="Times New Roman"/>
                <w:bCs/>
                <w:sz w:val="24"/>
                <w:szCs w:val="24"/>
              </w:rPr>
              <w:t>katalogs), papildinot Amatu katalogu ar pašvaldībām raksturīgu amatu grupu līmeņiem</w:t>
            </w:r>
            <w:r w:rsidR="00882407">
              <w:rPr>
                <w:rFonts w:ascii="Times New Roman" w:eastAsia="Times New Roman" w:hAnsi="Times New Roman"/>
                <w:bCs/>
                <w:sz w:val="24"/>
                <w:szCs w:val="24"/>
              </w:rPr>
              <w:t>, lai tādējādi nodrošinātu precīzāku amatu klasifikāciju.</w:t>
            </w:r>
          </w:p>
          <w:p w14:paraId="783D4914" w14:textId="6819C03C" w:rsidR="00BF608F" w:rsidRPr="000A2AFF" w:rsidRDefault="00BF608F" w:rsidP="007E4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Lai veiktu piedāvātos grozījumus Amatu katalogā, bija nepieciešami grozījumi </w:t>
            </w:r>
            <w:r w:rsidRPr="000A2AFF">
              <w:rPr>
                <w:rFonts w:ascii="Times New Roman" w:hAnsi="Times New Roman"/>
                <w:sz w:val="24"/>
                <w:szCs w:val="24"/>
              </w:rPr>
              <w:t>Valsts un pašvaldību institūciju amatpersonu</w:t>
            </w:r>
            <w:r w:rsidR="000A2AFF" w:rsidRPr="000A2AFF">
              <w:rPr>
                <w:rFonts w:ascii="Times New Roman" w:hAnsi="Times New Roman"/>
                <w:sz w:val="24"/>
                <w:szCs w:val="24"/>
              </w:rPr>
              <w:t xml:space="preserve"> un darbinieku atlīdzības likuma 1.pielikumā, to papildinot ar </w:t>
            </w:r>
            <w:proofErr w:type="spellStart"/>
            <w:r w:rsidR="000A2AFF" w:rsidRPr="000A2AFF">
              <w:rPr>
                <w:rFonts w:ascii="Times New Roman" w:hAnsi="Times New Roman"/>
                <w:sz w:val="24"/>
                <w:szCs w:val="24"/>
              </w:rPr>
              <w:t>apakšsaimi</w:t>
            </w:r>
            <w:proofErr w:type="spellEnd"/>
            <w:r w:rsidR="000A2AFF" w:rsidRPr="000A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A49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0A2AFF" w:rsidRPr="000A2AFF">
              <w:rPr>
                <w:rFonts w:ascii="Times New Roman" w:hAnsi="Times New Roman"/>
                <w:bCs/>
                <w:sz w:val="24"/>
                <w:szCs w:val="24"/>
              </w:rPr>
              <w:t>12.3. Finanšu uzskaite un analīze pašvaldībā</w:t>
            </w:r>
            <w:r w:rsidR="00BE1A49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28297C">
              <w:rPr>
                <w:rFonts w:ascii="Times New Roman" w:hAnsi="Times New Roman"/>
                <w:bCs/>
                <w:sz w:val="24"/>
                <w:szCs w:val="24"/>
              </w:rPr>
              <w:t>; bija nepieciešams precizēt arī</w:t>
            </w:r>
            <w:r w:rsidR="000A2AFF" w:rsidRPr="000A2AFF">
              <w:rPr>
                <w:rFonts w:ascii="Times New Roman" w:hAnsi="Times New Roman"/>
                <w:bCs/>
                <w:sz w:val="24"/>
                <w:szCs w:val="24"/>
              </w:rPr>
              <w:t xml:space="preserve"> saimes 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0A2AFF" w:rsidRPr="000A2AFF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  <w:r w:rsidR="00BE1A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2AFF" w:rsidRPr="000A2AFF">
              <w:rPr>
                <w:rFonts w:ascii="Times New Roman" w:hAnsi="Times New Roman"/>
                <w:bCs/>
                <w:sz w:val="24"/>
                <w:szCs w:val="24"/>
              </w:rPr>
              <w:t>Radošie darbi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28297C">
              <w:rPr>
                <w:rFonts w:ascii="Times New Roman" w:hAnsi="Times New Roman"/>
                <w:bCs/>
                <w:sz w:val="24"/>
                <w:szCs w:val="24"/>
              </w:rPr>
              <w:t xml:space="preserve"> aprakstu</w:t>
            </w:r>
            <w:r w:rsidR="000A2AFF" w:rsidRPr="000A2AFF">
              <w:rPr>
                <w:rFonts w:ascii="Times New Roman" w:hAnsi="Times New Roman"/>
                <w:bCs/>
                <w:sz w:val="24"/>
                <w:szCs w:val="24"/>
              </w:rPr>
              <w:t xml:space="preserve">. Savukārt 2.pielikumā bija nepieciešami grozījumi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>saim</w:t>
            </w:r>
            <w:r w:rsidR="007E47C5">
              <w:rPr>
                <w:rFonts w:ascii="Times New Roman" w:hAnsi="Times New Roman"/>
                <w:sz w:val="24"/>
                <w:szCs w:val="24"/>
              </w:rPr>
              <w:t>ē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>29.</w:t>
            </w:r>
            <w:r w:rsidR="00BE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>Pedagoģijas darbības atbalsts</w:t>
            </w:r>
            <w:r w:rsidR="008250CA" w:rsidRPr="00BF608F">
              <w:rPr>
                <w:rFonts w:ascii="Times New Roman" w:hAnsi="Times New Roman"/>
                <w:sz w:val="24"/>
                <w:szCs w:val="24"/>
              </w:rPr>
              <w:t>"</w:t>
            </w:r>
            <w:r w:rsidR="000A2AFF" w:rsidRPr="000A2AFF">
              <w:rPr>
                <w:rFonts w:ascii="Times New Roman" w:hAnsi="Times New Roman"/>
                <w:sz w:val="24"/>
                <w:szCs w:val="24"/>
              </w:rPr>
              <w:t xml:space="preserve">, jo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>minimālā</w:t>
            </w:r>
            <w:r w:rsidR="000A2AFF" w:rsidRPr="000A2AFF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 xml:space="preserve">maksimālā </w:t>
            </w:r>
            <w:r w:rsidR="000A2AFF" w:rsidRPr="000A2AFF">
              <w:rPr>
                <w:rFonts w:ascii="Times New Roman" w:hAnsi="Times New Roman"/>
                <w:sz w:val="24"/>
                <w:szCs w:val="24"/>
              </w:rPr>
              <w:t>mēnešalgu grupa, t.i.</w:t>
            </w:r>
            <w:r w:rsidR="00BE1A49">
              <w:rPr>
                <w:rFonts w:ascii="Times New Roman" w:hAnsi="Times New Roman"/>
                <w:sz w:val="24"/>
                <w:szCs w:val="24"/>
              </w:rPr>
              <w:t>,</w:t>
            </w:r>
            <w:r w:rsidR="000A2AFF" w:rsidRPr="000A2AFF">
              <w:rPr>
                <w:rFonts w:ascii="Times New Roman" w:hAnsi="Times New Roman"/>
                <w:sz w:val="24"/>
                <w:szCs w:val="24"/>
              </w:rPr>
              <w:t xml:space="preserve"> 10. un 11.,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>neļāva izveidot papildu līmeņus zemāk</w:t>
            </w:r>
            <w:r w:rsidR="00BE1A49">
              <w:rPr>
                <w:rFonts w:ascii="Times New Roman" w:hAnsi="Times New Roman"/>
                <w:sz w:val="24"/>
                <w:szCs w:val="24"/>
              </w:rPr>
              <w:t>iem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 xml:space="preserve"> un augstāk</w:t>
            </w:r>
            <w:r w:rsidR="00BE1A49">
              <w:rPr>
                <w:rFonts w:ascii="Times New Roman" w:hAnsi="Times New Roman"/>
                <w:sz w:val="24"/>
                <w:szCs w:val="24"/>
              </w:rPr>
              <w:t>iem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 xml:space="preserve"> amatiem. Grozījumi Valsts un pašvaldību </w:t>
            </w:r>
            <w:r w:rsidR="002519AC" w:rsidRPr="000A2AFF">
              <w:rPr>
                <w:rFonts w:ascii="Times New Roman" w:hAnsi="Times New Roman"/>
                <w:sz w:val="24"/>
                <w:szCs w:val="24"/>
              </w:rPr>
              <w:t xml:space="preserve">institūciju amatpersonu un darbinieku </w:t>
            </w:r>
            <w:r w:rsidR="00882407" w:rsidRPr="000A2AFF">
              <w:rPr>
                <w:rFonts w:ascii="Times New Roman" w:hAnsi="Times New Roman"/>
                <w:sz w:val="24"/>
                <w:szCs w:val="24"/>
              </w:rPr>
              <w:t xml:space="preserve">atlīdzības likumā tika pieņemti </w:t>
            </w:r>
            <w:proofErr w:type="spellStart"/>
            <w:r w:rsidRPr="000A2AFF">
              <w:rPr>
                <w:rFonts w:ascii="Times New Roman" w:hAnsi="Times New Roman"/>
                <w:sz w:val="24"/>
                <w:szCs w:val="24"/>
              </w:rPr>
              <w:t>2011.gada</w:t>
            </w:r>
            <w:proofErr w:type="spellEnd"/>
            <w:r w:rsidRPr="000A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AFF">
              <w:rPr>
                <w:rFonts w:ascii="Times New Roman" w:hAnsi="Times New Roman"/>
                <w:sz w:val="24"/>
                <w:szCs w:val="24"/>
              </w:rPr>
              <w:t>15.decembrī</w:t>
            </w:r>
            <w:proofErr w:type="spellEnd"/>
          </w:p>
        </w:tc>
      </w:tr>
      <w:tr w:rsidR="00856380" w:rsidRPr="0014143C" w14:paraId="783D4919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6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7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18" w14:textId="77777777" w:rsidR="00856380" w:rsidRPr="0014143C" w:rsidRDefault="00856380" w:rsidP="008250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25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A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1B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1C" w14:textId="2F13770C" w:rsidR="00BF608F" w:rsidRPr="00B50F2D" w:rsidRDefault="00BE1A49" w:rsidP="008250CA">
            <w:pPr>
              <w:pStyle w:val="naiskr"/>
              <w:spacing w:before="0" w:beforeAutospacing="0" w:after="0" w:afterAutospacing="0"/>
              <w:rPr>
                <w:spacing w:val="-6"/>
              </w:rPr>
            </w:pPr>
            <w:proofErr w:type="spellStart"/>
            <w:r w:rsidRPr="000A2AFF">
              <w:t>2011.gada</w:t>
            </w:r>
            <w:proofErr w:type="spellEnd"/>
            <w:r w:rsidRPr="000A2AFF">
              <w:t xml:space="preserve"> </w:t>
            </w:r>
            <w:proofErr w:type="spellStart"/>
            <w:r w:rsidRPr="000A2AFF">
              <w:t>15.decembr</w:t>
            </w:r>
            <w:r>
              <w:t>a</w:t>
            </w:r>
            <w:proofErr w:type="spellEnd"/>
            <w:r w:rsidRPr="00B50F2D">
              <w:t xml:space="preserve"> </w:t>
            </w:r>
            <w:r w:rsidR="00BF608F" w:rsidRPr="00B50F2D">
              <w:t xml:space="preserve">grozījumi Valsts un pašvaldību institūciju amatpersonu un darbinieku atlīdzības likuma </w:t>
            </w:r>
            <w:proofErr w:type="spellStart"/>
            <w:r w:rsidR="00BF608F" w:rsidRPr="00B50F2D">
              <w:t>1.pielikumā</w:t>
            </w:r>
            <w:proofErr w:type="spellEnd"/>
            <w:r w:rsidR="00BF608F" w:rsidRPr="00B50F2D">
              <w:t xml:space="preserve"> nosaka, ka </w:t>
            </w:r>
            <w:proofErr w:type="spellStart"/>
            <w:r w:rsidR="00BF608F" w:rsidRPr="00B50F2D">
              <w:t>apakšsaimē</w:t>
            </w:r>
            <w:proofErr w:type="spellEnd"/>
            <w:r w:rsidR="00BF608F" w:rsidRPr="00B50F2D">
              <w:t xml:space="preserve"> </w:t>
            </w:r>
            <w:r w:rsidR="008250CA" w:rsidRPr="00BF608F">
              <w:t>"</w:t>
            </w:r>
            <w:r w:rsidR="00BF608F" w:rsidRPr="00B50F2D">
              <w:rPr>
                <w:bCs/>
              </w:rPr>
              <w:t>12.3. Finanšu uzskaite un analīze pašvaldībā</w:t>
            </w:r>
            <w:r w:rsidR="008250CA" w:rsidRPr="00BF608F">
              <w:t>"</w:t>
            </w:r>
            <w:r w:rsidR="00BF608F" w:rsidRPr="00B50F2D">
              <w:rPr>
                <w:bCs/>
              </w:rPr>
              <w:t xml:space="preserve"> </w:t>
            </w:r>
            <w:r w:rsidR="00BF608F" w:rsidRPr="00B50F2D">
              <w:t xml:space="preserve">ietilpst amati, kuru pildītāji analizē pašvaldības budžeta ieņēmumu izpildes rādītājus, kontrolē tā izpildi un veic nepieciešamās darbības pašvaldības budžeta ieņēmumu palielināšanai. Līdz ar to Ministru kabineta līmenī ir nepieciešams noteikt </w:t>
            </w:r>
            <w:proofErr w:type="spellStart"/>
            <w:r w:rsidR="00BF608F" w:rsidRPr="00B50F2D">
              <w:t>apakšsaimes</w:t>
            </w:r>
            <w:proofErr w:type="spellEnd"/>
            <w:r w:rsidR="00BF608F" w:rsidRPr="00B50F2D">
              <w:t xml:space="preserve"> redakciju. </w:t>
            </w:r>
          </w:p>
          <w:p w14:paraId="783D491E" w14:textId="6472D08B" w:rsidR="003B3EB8" w:rsidRPr="00B50F2D" w:rsidRDefault="00BE1A49" w:rsidP="008250CA">
            <w:pPr>
              <w:pStyle w:val="naiskr"/>
              <w:spacing w:before="0" w:beforeAutospacing="0" w:after="0" w:afterAutospacing="0"/>
            </w:pPr>
            <w:proofErr w:type="spellStart"/>
            <w:r w:rsidRPr="000A2AFF">
              <w:t>2011.gada</w:t>
            </w:r>
            <w:proofErr w:type="spellEnd"/>
            <w:r w:rsidRPr="000A2AFF">
              <w:t xml:space="preserve"> </w:t>
            </w:r>
            <w:proofErr w:type="spellStart"/>
            <w:r w:rsidRPr="000A2AFF">
              <w:t>15.decembr</w:t>
            </w:r>
            <w:r>
              <w:t>a</w:t>
            </w:r>
            <w:proofErr w:type="spellEnd"/>
            <w:r w:rsidRPr="00B50F2D">
              <w:t xml:space="preserve"> </w:t>
            </w:r>
            <w:r w:rsidR="00BF608F" w:rsidRPr="00B50F2D">
              <w:t xml:space="preserve">grozījumi Valsts un pašvaldību institūciju amatpersonu un darbinieku atlīdzības likuma 2.pielikumā, atceļot minimālo mēnešalgas grupu un paaugstinot maksimālo mēnešalgas grupu saimei </w:t>
            </w:r>
            <w:r w:rsidRPr="00BF608F">
              <w:t>"</w:t>
            </w:r>
            <w:r w:rsidR="00BF608F" w:rsidRPr="00B50F2D">
              <w:t>29.</w:t>
            </w:r>
            <w:r>
              <w:t> </w:t>
            </w:r>
            <w:r w:rsidR="00BF608F" w:rsidRPr="00B50F2D">
              <w:t>Pedagoģi</w:t>
            </w:r>
            <w:r w:rsidR="00A96D1F" w:rsidRPr="00B50F2D">
              <w:t>jas</w:t>
            </w:r>
            <w:r w:rsidR="00BF608F" w:rsidRPr="00B50F2D">
              <w:t xml:space="preserve"> darbības atbalsts</w:t>
            </w:r>
            <w:r w:rsidRPr="00BF608F">
              <w:t>"</w:t>
            </w:r>
            <w:r w:rsidR="00BF608F" w:rsidRPr="00B50F2D">
              <w:t xml:space="preserve">, ļauj izdarīt grozījumus </w:t>
            </w:r>
            <w:r w:rsidR="000855E0" w:rsidRPr="00B50F2D">
              <w:t xml:space="preserve">šajā </w:t>
            </w:r>
            <w:r w:rsidR="00BF608F" w:rsidRPr="00B50F2D">
              <w:t xml:space="preserve">saimē, Amatu katalogā iekļaujot </w:t>
            </w:r>
            <w:r w:rsidR="00882407" w:rsidRPr="00B50F2D">
              <w:t>skolotāja</w:t>
            </w:r>
            <w:r w:rsidR="00BF608F" w:rsidRPr="00B50F2D">
              <w:t xml:space="preserve"> palīga amatu un </w:t>
            </w:r>
            <w:r w:rsidR="00E75A45">
              <w:t>pašvaldības izglītības atbalsta</w:t>
            </w:r>
            <w:r w:rsidR="00BF608F" w:rsidRPr="00B50F2D">
              <w:t xml:space="preserve"> struktūrvienības vadītāja </w:t>
            </w:r>
            <w:r w:rsidR="00BF608F" w:rsidRPr="00B50F2D">
              <w:lastRenderedPageBreak/>
              <w:t>amatu.</w:t>
            </w:r>
          </w:p>
          <w:p w14:paraId="783D4920" w14:textId="3172271B" w:rsidR="0028297C" w:rsidRPr="00B50F2D" w:rsidRDefault="0028297C" w:rsidP="008250CA">
            <w:pPr>
              <w:pStyle w:val="naiskr"/>
              <w:spacing w:before="0" w:beforeAutospacing="0" w:after="0" w:afterAutospacing="0"/>
            </w:pPr>
            <w:r w:rsidRPr="00B50F2D">
              <w:t xml:space="preserve">Atbilstoši </w:t>
            </w:r>
            <w:proofErr w:type="spellStart"/>
            <w:r w:rsidR="00E75A45" w:rsidRPr="000A2AFF">
              <w:t>2011.gada</w:t>
            </w:r>
            <w:proofErr w:type="spellEnd"/>
            <w:r w:rsidR="00E75A45" w:rsidRPr="000A2AFF">
              <w:t xml:space="preserve"> </w:t>
            </w:r>
            <w:proofErr w:type="spellStart"/>
            <w:r w:rsidR="00E75A45" w:rsidRPr="000A2AFF">
              <w:t>15.decembr</w:t>
            </w:r>
            <w:r w:rsidR="00E75A45">
              <w:t>a</w:t>
            </w:r>
            <w:proofErr w:type="spellEnd"/>
            <w:r w:rsidRPr="00B50F2D">
              <w:t xml:space="preserve"> grozījumiem Valsts un pašvaldību institūciju amatpersonu un darbinieku atlīdzības likuma 1.pielikumā ir nepieciešams precizēt saimes </w:t>
            </w:r>
            <w:r w:rsidR="00E75A45">
              <w:t>"</w:t>
            </w:r>
            <w:r w:rsidRPr="00B50F2D">
              <w:t>33.</w:t>
            </w:r>
            <w:r w:rsidR="007E47C5">
              <w:t> </w:t>
            </w:r>
            <w:r w:rsidRPr="00B50F2D">
              <w:t>Radošie darbi</w:t>
            </w:r>
            <w:r w:rsidR="00E75A45">
              <w:t>"</w:t>
            </w:r>
            <w:r w:rsidRPr="00B50F2D">
              <w:t xml:space="preserve"> aprakstu. </w:t>
            </w:r>
          </w:p>
          <w:p w14:paraId="783D4922" w14:textId="16D8BF41" w:rsidR="0028297C" w:rsidRPr="00B50F2D" w:rsidRDefault="000559CF" w:rsidP="008250CA">
            <w:pPr>
              <w:pStyle w:val="naiskr"/>
              <w:spacing w:before="0" w:beforeAutospacing="0" w:after="0" w:afterAutospacing="0"/>
              <w:rPr>
                <w:spacing w:val="-6"/>
              </w:rPr>
            </w:pPr>
            <w:r w:rsidRPr="00B50F2D">
              <w:t>Lai novērstu grūtības klasificēt amatus ļoti lielās iestādēs, kas pārrauga vairākas teritoriālās struktūrvienības, a</w:t>
            </w:r>
            <w:r w:rsidRPr="00B50F2D">
              <w:rPr>
                <w:spacing w:val="-6"/>
              </w:rPr>
              <w:t xml:space="preserve">tbilstoši Tieslietu ministrijas iesniegtajam priekšlikumam ir precizēts saimes </w:t>
            </w:r>
            <w:r w:rsidR="00E75A45">
              <w:rPr>
                <w:spacing w:val="-6"/>
              </w:rPr>
              <w:t>"</w:t>
            </w:r>
            <w:r w:rsidRPr="00B50F2D">
              <w:rPr>
                <w:spacing w:val="-6"/>
              </w:rPr>
              <w:t>17.</w:t>
            </w:r>
            <w:r w:rsidR="00E75A45">
              <w:rPr>
                <w:spacing w:val="-6"/>
              </w:rPr>
              <w:t xml:space="preserve"> Iestāžu procedūras"</w:t>
            </w:r>
            <w:r w:rsidRPr="00B50F2D">
              <w:rPr>
                <w:spacing w:val="-6"/>
              </w:rPr>
              <w:t xml:space="preserve"> </w:t>
            </w:r>
            <w:proofErr w:type="spellStart"/>
            <w:r w:rsidRPr="00B50F2D">
              <w:rPr>
                <w:spacing w:val="-6"/>
              </w:rPr>
              <w:t>III</w:t>
            </w:r>
            <w:proofErr w:type="spellEnd"/>
            <w:r w:rsidRPr="00B50F2D">
              <w:rPr>
                <w:spacing w:val="-6"/>
              </w:rPr>
              <w:t xml:space="preserve"> līmeņa amata </w:t>
            </w:r>
            <w:proofErr w:type="spellStart"/>
            <w:r w:rsidRPr="00B50F2D">
              <w:rPr>
                <w:spacing w:val="-6"/>
              </w:rPr>
              <w:t>paraugapraksts</w:t>
            </w:r>
            <w:proofErr w:type="spellEnd"/>
            <w:r w:rsidRPr="00B50F2D">
              <w:rPr>
                <w:spacing w:val="-6"/>
              </w:rPr>
              <w:t xml:space="preserve">. </w:t>
            </w:r>
          </w:p>
          <w:p w14:paraId="783D4924" w14:textId="3F6D9CEF" w:rsidR="00880C1B" w:rsidRPr="00B50F2D" w:rsidRDefault="00880C1B" w:rsidP="00E75A45">
            <w:pPr>
              <w:pStyle w:val="naiskr"/>
              <w:spacing w:before="0" w:beforeAutospacing="0" w:after="0" w:afterAutospacing="0"/>
            </w:pPr>
            <w:r w:rsidRPr="00B50F2D">
              <w:rPr>
                <w:spacing w:val="-6"/>
              </w:rPr>
              <w:t>Noteikumu projektā atbilstoši esošajai situācijai precizēts nodarbināt</w:t>
            </w:r>
            <w:r w:rsidR="00E75A45">
              <w:rPr>
                <w:spacing w:val="-6"/>
              </w:rPr>
              <w:t>o skaits mazā un vidējā iestādē</w:t>
            </w:r>
          </w:p>
        </w:tc>
      </w:tr>
      <w:tr w:rsidR="00856380" w:rsidRPr="0014143C" w14:paraId="783D4929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6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7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28" w14:textId="44627F07" w:rsidR="00856380" w:rsidRPr="00B50F2D" w:rsidRDefault="00405876" w:rsidP="00EA13F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</w:pPr>
            <w:r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Izstrādājot Amatu kataloga grozījumus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,</w:t>
            </w:r>
            <w:r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 Valsts kanceleja 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konsultējās ar Rīgas, Ventspils, Saldus, Siguldas, Valmieras, Ķekavas pašvaldību pārstāvjiem</w:t>
            </w:r>
            <w:r w:rsidR="00EA13F6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.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 </w:t>
            </w:r>
            <w:r w:rsidR="00EA13F6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I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ebildumi netika saņemti</w:t>
            </w:r>
            <w:r w:rsidR="00EA13F6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,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 un </w:t>
            </w:r>
            <w:r w:rsidR="00641BE7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tika </w:t>
            </w:r>
            <w:r w:rsidR="000855E0" w:rsidRPr="00B50F2D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atbalstīta not</w:t>
            </w:r>
            <w:r w:rsidR="00EA13F6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eikumu projekta tālāka virzība</w:t>
            </w:r>
          </w:p>
        </w:tc>
      </w:tr>
      <w:tr w:rsidR="00856380" w:rsidRPr="0014143C" w14:paraId="783D492D" w14:textId="77777777" w:rsidTr="000823D9"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A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B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2C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3C">
              <w:rPr>
                <w:rFonts w:ascii="Times New Roman" w:hAnsi="Times New Roman"/>
                <w:color w:val="000000"/>
                <w:sz w:val="24"/>
                <w:szCs w:val="24"/>
              </w:rPr>
              <w:t>Normatīvā akta projektam nav tiešas ietekmes uz sabiedrību</w:t>
            </w:r>
            <w:r w:rsidRPr="0014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380" w:rsidRPr="0014143C" w14:paraId="783D4931" w14:textId="77777777" w:rsidTr="000823D9">
        <w:trPr>
          <w:trHeight w:val="227"/>
        </w:trPr>
        <w:tc>
          <w:tcPr>
            <w:tcW w:w="2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E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2F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30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56380" w:rsidRPr="0014143C" w14:paraId="783D4933" w14:textId="77777777" w:rsidTr="00906DC5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83D4932" w14:textId="77777777" w:rsidR="00856380" w:rsidRPr="0014143C" w:rsidRDefault="00282706" w:rsidP="00727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br w:type="page"/>
            </w:r>
            <w:r w:rsidR="00856380" w:rsidRPr="0014143C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856380" w:rsidRPr="0014143C" w14:paraId="783D4937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4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5" w14:textId="77777777" w:rsidR="00856380" w:rsidRPr="0014143C" w:rsidRDefault="00856380" w:rsidP="0059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36" w14:textId="77777777" w:rsidR="00856380" w:rsidRPr="0014143C" w:rsidRDefault="00856380" w:rsidP="00EA13F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4143C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Valsts un pašvaldību institūciju amatpersonas un darbinieki, uz kuriem attiecas Valsts un pašvaldību institūciju 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>amatpersonu un darbinieku atlīdzības likuma 7.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1 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>pants un 11.panta pirmā daļa</w:t>
            </w:r>
          </w:p>
        </w:tc>
      </w:tr>
      <w:tr w:rsidR="00856380" w:rsidRPr="0014143C" w14:paraId="783D493B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8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9" w14:textId="77777777" w:rsidR="00856380" w:rsidRPr="0014143C" w:rsidRDefault="00856380" w:rsidP="0059727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3A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3F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C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3D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finansiālā ietekme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3E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43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0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1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nefinansiālā ietekme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42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47" w14:textId="77777777" w:rsidTr="00906DC5">
        <w:trPr>
          <w:trHeight w:val="546"/>
        </w:trPr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4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5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Administratīvās procedūras raksturojums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46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4B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8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9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4A" w14:textId="77777777" w:rsidR="00856380" w:rsidRPr="0014143C" w:rsidRDefault="00856380" w:rsidP="00EA13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4F" w14:textId="77777777" w:rsidTr="00906DC5">
        <w:tc>
          <w:tcPr>
            <w:tcW w:w="25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C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4D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4E" w14:textId="77777777" w:rsidR="00856380" w:rsidRPr="0014143C" w:rsidRDefault="00856380" w:rsidP="005972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83D4950" w14:textId="77777777" w:rsidR="00856380" w:rsidRPr="0014143C" w:rsidRDefault="00856380" w:rsidP="009E0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D4951" w14:textId="77777777" w:rsidR="00856380" w:rsidRDefault="00856380" w:rsidP="009E0E5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14143C">
        <w:rPr>
          <w:rFonts w:ascii="Times New Roman" w:hAnsi="Times New Roman"/>
          <w:sz w:val="24"/>
          <w:szCs w:val="24"/>
        </w:rPr>
        <w:t>Anotācijas III sadaļa – p</w:t>
      </w:r>
      <w:r w:rsidRPr="0014143C">
        <w:rPr>
          <w:rFonts w:ascii="Times New Roman" w:hAnsi="Times New Roman"/>
          <w:sz w:val="24"/>
          <w:szCs w:val="24"/>
          <w:lang w:eastAsia="lv-LV"/>
        </w:rPr>
        <w:t>rojekts šo jomu neskar.</w:t>
      </w:r>
    </w:p>
    <w:p w14:paraId="783D4952" w14:textId="77777777" w:rsidR="00282706" w:rsidRDefault="00282706" w:rsidP="009E0E5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77"/>
      </w:tblGrid>
      <w:tr w:rsidR="00282706" w14:paraId="783D4954" w14:textId="77777777" w:rsidTr="00BE1A49">
        <w:tc>
          <w:tcPr>
            <w:tcW w:w="9287" w:type="dxa"/>
            <w:gridSpan w:val="3"/>
          </w:tcPr>
          <w:p w14:paraId="783D4953" w14:textId="77777777" w:rsidR="00282706" w:rsidRDefault="00282706" w:rsidP="0028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3C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2706" w14:paraId="783D4958" w14:textId="77777777" w:rsidTr="00282706">
        <w:tc>
          <w:tcPr>
            <w:tcW w:w="534" w:type="dxa"/>
          </w:tcPr>
          <w:p w14:paraId="783D4955" w14:textId="77777777" w:rsid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83D4956" w14:textId="77777777" w:rsidR="00282706" w:rsidRP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706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5777" w:type="dxa"/>
          </w:tcPr>
          <w:p w14:paraId="783D4957" w14:textId="2A3F3C72" w:rsidR="00282706" w:rsidRP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706">
              <w:rPr>
                <w:rFonts w:ascii="Times New Roman" w:hAnsi="Times New Roman"/>
                <w:spacing w:val="-6"/>
                <w:sz w:val="24"/>
                <w:szCs w:val="24"/>
              </w:rPr>
              <w:t>Ministru kabineta 2009.gada 22.decembra noteikumi Nr.1651 "Noteikumi par valsts un pašvaldību institūciju amatpersonu un darbinieku darba samaksu, kvalifikācijas pakāpēm un to noteikšanas kārtību", nosakot jaunizveidotajiem līmeņi</w:t>
            </w:r>
            <w:r w:rsidR="00EA13F6">
              <w:rPr>
                <w:rFonts w:ascii="Times New Roman" w:hAnsi="Times New Roman"/>
                <w:spacing w:val="-6"/>
                <w:sz w:val="24"/>
                <w:szCs w:val="24"/>
              </w:rPr>
              <w:t>em atbilstošas mēnešalgu grupas</w:t>
            </w:r>
          </w:p>
        </w:tc>
      </w:tr>
      <w:tr w:rsidR="00282706" w14:paraId="783D495C" w14:textId="77777777" w:rsidTr="00282706">
        <w:tc>
          <w:tcPr>
            <w:tcW w:w="534" w:type="dxa"/>
          </w:tcPr>
          <w:p w14:paraId="783D4959" w14:textId="77777777" w:rsid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783D495A" w14:textId="77777777" w:rsid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706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77" w:type="dxa"/>
          </w:tcPr>
          <w:p w14:paraId="783D495B" w14:textId="77777777" w:rsidR="00282706" w:rsidRDefault="00282706" w:rsidP="009E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783D495D" w14:textId="77777777" w:rsidR="00856380" w:rsidRPr="0014143C" w:rsidRDefault="00856380" w:rsidP="009E0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D495E" w14:textId="77777777" w:rsidR="00856380" w:rsidRPr="0014143C" w:rsidRDefault="00856380" w:rsidP="005B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43C">
        <w:rPr>
          <w:rFonts w:ascii="Times New Roman" w:hAnsi="Times New Roman"/>
          <w:sz w:val="24"/>
          <w:szCs w:val="24"/>
        </w:rPr>
        <w:lastRenderedPageBreak/>
        <w:t>Anotācijas V, VI sadaļa – p</w:t>
      </w:r>
      <w:r w:rsidRPr="0014143C">
        <w:rPr>
          <w:rFonts w:ascii="Times New Roman" w:hAnsi="Times New Roman"/>
          <w:sz w:val="24"/>
          <w:szCs w:val="24"/>
          <w:lang w:eastAsia="lv-LV"/>
        </w:rPr>
        <w:t>rojekts š</w:t>
      </w:r>
      <w:r w:rsidR="008239AA">
        <w:rPr>
          <w:rFonts w:ascii="Times New Roman" w:hAnsi="Times New Roman"/>
          <w:sz w:val="24"/>
          <w:szCs w:val="24"/>
          <w:lang w:eastAsia="lv-LV"/>
        </w:rPr>
        <w:t>īs</w:t>
      </w:r>
      <w:r w:rsidRPr="0014143C">
        <w:rPr>
          <w:rFonts w:ascii="Times New Roman" w:hAnsi="Times New Roman"/>
          <w:sz w:val="24"/>
          <w:szCs w:val="24"/>
          <w:lang w:eastAsia="lv-LV"/>
        </w:rPr>
        <w:t xml:space="preserve"> jom</w:t>
      </w:r>
      <w:r w:rsidR="008239AA">
        <w:rPr>
          <w:rFonts w:ascii="Times New Roman" w:hAnsi="Times New Roman"/>
          <w:sz w:val="24"/>
          <w:szCs w:val="24"/>
          <w:lang w:eastAsia="lv-LV"/>
        </w:rPr>
        <w:t>as</w:t>
      </w:r>
      <w:r w:rsidRPr="0014143C">
        <w:rPr>
          <w:rFonts w:ascii="Times New Roman" w:hAnsi="Times New Roman"/>
          <w:sz w:val="24"/>
          <w:szCs w:val="24"/>
          <w:lang w:eastAsia="lv-LV"/>
        </w:rPr>
        <w:t xml:space="preserve"> neskar.</w:t>
      </w:r>
    </w:p>
    <w:p w14:paraId="783D495F" w14:textId="77777777" w:rsidR="00856380" w:rsidRPr="0014143C" w:rsidRDefault="00856380" w:rsidP="009E0E5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4"/>
        <w:gridCol w:w="3117"/>
        <w:gridCol w:w="5700"/>
      </w:tblGrid>
      <w:tr w:rsidR="00856380" w:rsidRPr="0014143C" w14:paraId="783D4961" w14:textId="77777777" w:rsidTr="00906DC5">
        <w:trPr>
          <w:trHeight w:val="263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83D4960" w14:textId="77777777" w:rsidR="00856380" w:rsidRPr="0014143C" w:rsidRDefault="00856380" w:rsidP="00727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56380" w:rsidRPr="0014143C" w14:paraId="783D4965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2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3" w14:textId="77777777" w:rsidR="00856380" w:rsidRPr="0014143C" w:rsidRDefault="00856380" w:rsidP="0066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64" w14:textId="77777777" w:rsidR="00856380" w:rsidRPr="0014143C" w:rsidRDefault="00856380" w:rsidP="00906DC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 xml:space="preserve">Valsts un pašvaldību institūciju 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>amatpersonu un darbinieku atlīdzības likuma 7.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1 </w:t>
            </w:r>
            <w:r w:rsidRPr="0014143C">
              <w:rPr>
                <w:rFonts w:ascii="Times New Roman" w:hAnsi="Times New Roman"/>
                <w:spacing w:val="-6"/>
                <w:sz w:val="24"/>
                <w:szCs w:val="24"/>
              </w:rPr>
              <w:t>pantā un 11.panta pirmajā daļā noteiktās valsts un pašvaldību institūcijas</w:t>
            </w:r>
          </w:p>
        </w:tc>
      </w:tr>
      <w:tr w:rsidR="00856380" w:rsidRPr="0014143C" w14:paraId="783D4969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6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7" w14:textId="77777777" w:rsidR="00856380" w:rsidRPr="0014143C" w:rsidRDefault="00856380" w:rsidP="0066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68" w14:textId="77777777" w:rsidR="00856380" w:rsidRPr="0014143C" w:rsidRDefault="00856380" w:rsidP="00906DC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lv-LV"/>
              </w:rPr>
              <w:t>Normatīvā akta izpilde tiks nodrošināta anotācijas VII sadaļas 1.punktā minēto institūciju līdzšinējo funkciju ietvaros</w:t>
            </w:r>
          </w:p>
        </w:tc>
      </w:tr>
      <w:tr w:rsidR="00856380" w:rsidRPr="0014143C" w14:paraId="783D496E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A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B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783D496C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6D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73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6F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70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783D4971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72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78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74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75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783D4976" w14:textId="77777777" w:rsidR="00856380" w:rsidRPr="0014143C" w:rsidRDefault="00856380" w:rsidP="005A591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pacing w:val="-6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77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56380" w:rsidRPr="0014143C" w14:paraId="783D497C" w14:textId="77777777" w:rsidTr="000823D9">
        <w:tc>
          <w:tcPr>
            <w:tcW w:w="1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79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497A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3D497B" w14:textId="77777777" w:rsidR="00856380" w:rsidRPr="0014143C" w:rsidRDefault="00856380" w:rsidP="009E0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4143C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83D497D" w14:textId="77777777" w:rsidR="00856380" w:rsidRDefault="00856380" w:rsidP="003C7568">
      <w:pPr>
        <w:pStyle w:val="naisf"/>
        <w:spacing w:before="0" w:after="0"/>
        <w:ind w:firstLine="0"/>
      </w:pPr>
    </w:p>
    <w:p w14:paraId="3B49E163" w14:textId="77777777" w:rsidR="00B64D4A" w:rsidRDefault="00B64D4A" w:rsidP="003C7568">
      <w:pPr>
        <w:pStyle w:val="naisf"/>
        <w:spacing w:before="0" w:after="0"/>
        <w:ind w:firstLine="0"/>
      </w:pPr>
    </w:p>
    <w:p w14:paraId="1C5873B3" w14:textId="77777777" w:rsidR="00B64D4A" w:rsidRPr="0014143C" w:rsidRDefault="00B64D4A" w:rsidP="00EA13F6">
      <w:pPr>
        <w:pStyle w:val="naisf"/>
        <w:spacing w:before="0" w:after="0"/>
        <w:ind w:firstLine="709"/>
      </w:pPr>
    </w:p>
    <w:p w14:paraId="783D497E" w14:textId="77777777" w:rsidR="00856380" w:rsidRPr="0014143C" w:rsidRDefault="00856380" w:rsidP="00EA13F6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143C">
        <w:rPr>
          <w:rFonts w:ascii="Times New Roman" w:hAnsi="Times New Roman"/>
          <w:sz w:val="28"/>
          <w:szCs w:val="28"/>
        </w:rPr>
        <w:t>Ministru prezidents</w:t>
      </w:r>
      <w:proofErr w:type="gramStart"/>
      <w:r w:rsidRPr="0014143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End"/>
      <w:r w:rsidRPr="0014143C">
        <w:rPr>
          <w:rFonts w:ascii="Times New Roman" w:hAnsi="Times New Roman"/>
          <w:sz w:val="28"/>
          <w:szCs w:val="28"/>
        </w:rPr>
        <w:tab/>
        <w:t>V.Dombrovskis</w:t>
      </w:r>
    </w:p>
    <w:p w14:paraId="783D497F" w14:textId="77777777" w:rsidR="00856380" w:rsidRPr="0014143C" w:rsidRDefault="00856380" w:rsidP="00EA13F6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83D4980" w14:textId="77777777" w:rsidR="00856380" w:rsidRDefault="00856380" w:rsidP="00EA13F6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85B609D" w14:textId="77777777" w:rsidR="00B64D4A" w:rsidRPr="0014143C" w:rsidRDefault="00B64D4A" w:rsidP="00EA13F6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83D4981" w14:textId="77777777" w:rsidR="00856380" w:rsidRPr="0014143C" w:rsidRDefault="00856380" w:rsidP="00EA13F6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143C">
        <w:rPr>
          <w:rFonts w:ascii="Times New Roman" w:hAnsi="Times New Roman"/>
          <w:sz w:val="28"/>
          <w:szCs w:val="28"/>
        </w:rPr>
        <w:t>Vizē:</w:t>
      </w:r>
    </w:p>
    <w:p w14:paraId="783D4982" w14:textId="34961E8F" w:rsidR="00856380" w:rsidRPr="0014143C" w:rsidRDefault="00856380" w:rsidP="00EA13F6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143C">
        <w:rPr>
          <w:rFonts w:ascii="Times New Roman" w:hAnsi="Times New Roman"/>
          <w:sz w:val="28"/>
          <w:szCs w:val="28"/>
        </w:rPr>
        <w:t xml:space="preserve">Valsts kancelejas direktore </w:t>
      </w:r>
      <w:r w:rsidR="00282706" w:rsidRPr="00B64D4A">
        <w:rPr>
          <w:rFonts w:ascii="Times New Roman" w:hAnsi="Times New Roman"/>
          <w:sz w:val="28"/>
          <w:szCs w:val="28"/>
          <w:u w:val="single"/>
        </w:rPr>
        <w:tab/>
      </w:r>
      <w:r w:rsidRPr="0014143C">
        <w:rPr>
          <w:rFonts w:ascii="Times New Roman" w:hAnsi="Times New Roman"/>
          <w:sz w:val="28"/>
          <w:szCs w:val="28"/>
        </w:rPr>
        <w:t>E.Dreimane</w:t>
      </w:r>
    </w:p>
    <w:p w14:paraId="783D4983" w14:textId="77777777" w:rsidR="003B6A2C" w:rsidRDefault="003B6A2C" w:rsidP="00844525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D4984" w14:textId="77777777" w:rsidR="003B6A2C" w:rsidRPr="0014143C" w:rsidRDefault="003B6A2C" w:rsidP="00844525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D4985" w14:textId="77777777" w:rsidR="00856380" w:rsidRPr="003B6A2C" w:rsidRDefault="00156B6F" w:rsidP="00EA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22.08</w:t>
      </w:r>
      <w:r w:rsidR="000855E0">
        <w:rPr>
          <w:rFonts w:ascii="Times New Roman" w:hAnsi="Times New Roman"/>
          <w:sz w:val="24"/>
          <w:szCs w:val="24"/>
        </w:rPr>
        <w:t>.2012</w:t>
      </w:r>
    </w:p>
    <w:p w14:paraId="783D4986" w14:textId="0386F442" w:rsidR="00856380" w:rsidRPr="003B6A2C" w:rsidRDefault="00216DC6" w:rsidP="00EA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13F6">
        <w:rPr>
          <w:rFonts w:ascii="Times New Roman" w:hAnsi="Times New Roman"/>
          <w:sz w:val="24"/>
          <w:szCs w:val="24"/>
        </w:rPr>
        <w:t>9</w:t>
      </w:r>
      <w:r w:rsidR="00FE3A16">
        <w:rPr>
          <w:rFonts w:ascii="Times New Roman" w:hAnsi="Times New Roman"/>
          <w:sz w:val="24"/>
          <w:szCs w:val="24"/>
        </w:rPr>
        <w:t>8</w:t>
      </w:r>
      <w:bookmarkStart w:id="4" w:name="_GoBack"/>
      <w:bookmarkEnd w:id="4"/>
    </w:p>
    <w:p w14:paraId="783D4987" w14:textId="77777777" w:rsidR="00856380" w:rsidRPr="003B6A2C" w:rsidRDefault="00856380" w:rsidP="00EA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A2C">
        <w:rPr>
          <w:rFonts w:ascii="Times New Roman" w:hAnsi="Times New Roman"/>
          <w:sz w:val="24"/>
          <w:szCs w:val="24"/>
        </w:rPr>
        <w:t>Medvecka 67082907</w:t>
      </w:r>
    </w:p>
    <w:p w14:paraId="783D4988" w14:textId="77777777" w:rsidR="00856380" w:rsidRPr="003B6A2C" w:rsidRDefault="00856380" w:rsidP="00EA1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A2C">
        <w:rPr>
          <w:rFonts w:ascii="Times New Roman" w:hAnsi="Times New Roman"/>
          <w:sz w:val="24"/>
          <w:szCs w:val="24"/>
        </w:rPr>
        <w:t>Baiba.Medvecka@mk.gov.lv</w:t>
      </w:r>
    </w:p>
    <w:sectPr w:rsidR="00856380" w:rsidRPr="003B6A2C" w:rsidSect="00B64D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498B" w14:textId="77777777" w:rsidR="00BE1A49" w:rsidRDefault="00BE1A49" w:rsidP="00CC4CA4">
      <w:pPr>
        <w:spacing w:after="0" w:line="240" w:lineRule="auto"/>
      </w:pPr>
      <w:r>
        <w:separator/>
      </w:r>
    </w:p>
  </w:endnote>
  <w:endnote w:type="continuationSeparator" w:id="0">
    <w:p w14:paraId="783D498C" w14:textId="77777777" w:rsidR="00BE1A49" w:rsidRDefault="00BE1A49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409F" w14:textId="77777777" w:rsidR="00BE1A49" w:rsidRPr="00B64D4A" w:rsidRDefault="00BE1A49" w:rsidP="00B64D4A">
    <w:pPr>
      <w:pStyle w:val="Footer"/>
      <w:rPr>
        <w:sz w:val="16"/>
        <w:szCs w:val="16"/>
      </w:rPr>
    </w:pPr>
    <w:r w:rsidRPr="00B64D4A">
      <w:rPr>
        <w:rFonts w:ascii="Times New Roman" w:hAnsi="Times New Roman"/>
        <w:sz w:val="16"/>
        <w:szCs w:val="16"/>
      </w:rPr>
      <w:t>MKAnot_180712_Amatu_katalogs (43570)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4992" w14:textId="28688686" w:rsidR="00BE1A49" w:rsidRPr="00B64D4A" w:rsidRDefault="00BE1A49" w:rsidP="005F6BF2">
    <w:pPr>
      <w:pStyle w:val="Footer"/>
      <w:rPr>
        <w:sz w:val="16"/>
        <w:szCs w:val="16"/>
      </w:rPr>
    </w:pPr>
    <w:r w:rsidRPr="00B64D4A">
      <w:rPr>
        <w:rFonts w:ascii="Times New Roman" w:hAnsi="Times New Roman"/>
        <w:sz w:val="16"/>
        <w:szCs w:val="16"/>
      </w:rPr>
      <w:t>MKAnot_180712_Amatu_katalogs (43570)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4989" w14:textId="77777777" w:rsidR="00BE1A49" w:rsidRDefault="00BE1A49" w:rsidP="00CC4CA4">
      <w:pPr>
        <w:spacing w:after="0" w:line="240" w:lineRule="auto"/>
      </w:pPr>
      <w:r>
        <w:separator/>
      </w:r>
    </w:p>
  </w:footnote>
  <w:footnote w:type="continuationSeparator" w:id="0">
    <w:p w14:paraId="783D498A" w14:textId="77777777" w:rsidR="00BE1A49" w:rsidRDefault="00BE1A49" w:rsidP="00C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498D" w14:textId="77777777" w:rsidR="00BE1A49" w:rsidRPr="00CC4CA4" w:rsidRDefault="00BE1A49" w:rsidP="00CC4CA4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CC4CA4">
      <w:rPr>
        <w:rFonts w:ascii="Times New Roman" w:hAnsi="Times New Roman"/>
        <w:sz w:val="24"/>
        <w:szCs w:val="24"/>
      </w:rPr>
      <w:fldChar w:fldCharType="begin"/>
    </w:r>
    <w:r w:rsidRPr="00CC4CA4">
      <w:rPr>
        <w:rFonts w:ascii="Times New Roman" w:hAnsi="Times New Roman"/>
        <w:sz w:val="24"/>
        <w:szCs w:val="24"/>
      </w:rPr>
      <w:instrText xml:space="preserve"> PAGE   \* MERGEFORMAT </w:instrText>
    </w:r>
    <w:r w:rsidRPr="00CC4CA4">
      <w:rPr>
        <w:rFonts w:ascii="Times New Roman" w:hAnsi="Times New Roman"/>
        <w:sz w:val="24"/>
        <w:szCs w:val="24"/>
      </w:rPr>
      <w:fldChar w:fldCharType="separate"/>
    </w:r>
    <w:r w:rsidR="00FE3A16">
      <w:rPr>
        <w:rFonts w:ascii="Times New Roman" w:hAnsi="Times New Roman"/>
        <w:noProof/>
        <w:sz w:val="24"/>
        <w:szCs w:val="24"/>
      </w:rPr>
      <w:t>3</w:t>
    </w:r>
    <w:r w:rsidRPr="00CC4CA4">
      <w:rPr>
        <w:rFonts w:ascii="Times New Roman" w:hAnsi="Times New Roman"/>
        <w:sz w:val="24"/>
        <w:szCs w:val="24"/>
      </w:rPr>
      <w:fldChar w:fldCharType="end"/>
    </w:r>
  </w:p>
  <w:p w14:paraId="783D498E" w14:textId="77777777" w:rsidR="00BE1A49" w:rsidRDefault="00BE1A49" w:rsidP="00CC4CA4">
    <w:pPr>
      <w:pStyle w:val="Header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4990" w14:textId="77777777" w:rsidR="00BE1A49" w:rsidRDefault="00BE1A49" w:rsidP="003873C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1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94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48C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0F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560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A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2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06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4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D8E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60762"/>
    <w:multiLevelType w:val="hybridMultilevel"/>
    <w:tmpl w:val="DF962D7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641AF"/>
    <w:multiLevelType w:val="hybridMultilevel"/>
    <w:tmpl w:val="0E7C0626"/>
    <w:lvl w:ilvl="0" w:tplc="8E1A079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09FD"/>
    <w:multiLevelType w:val="hybridMultilevel"/>
    <w:tmpl w:val="CC7EA61E"/>
    <w:lvl w:ilvl="0" w:tplc="70C014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4273475"/>
    <w:multiLevelType w:val="hybridMultilevel"/>
    <w:tmpl w:val="6C520F5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C111F"/>
    <w:multiLevelType w:val="hybridMultilevel"/>
    <w:tmpl w:val="1FEC281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223DB"/>
    <w:multiLevelType w:val="hybridMultilevel"/>
    <w:tmpl w:val="98C8A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C4781"/>
    <w:multiLevelType w:val="hybridMultilevel"/>
    <w:tmpl w:val="5CBAC65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937741"/>
    <w:multiLevelType w:val="hybridMultilevel"/>
    <w:tmpl w:val="ADA2BCEE"/>
    <w:lvl w:ilvl="0" w:tplc="70C01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9E"/>
    <w:rsid w:val="000167F0"/>
    <w:rsid w:val="00027993"/>
    <w:rsid w:val="00030306"/>
    <w:rsid w:val="000308CF"/>
    <w:rsid w:val="000559CF"/>
    <w:rsid w:val="0006508B"/>
    <w:rsid w:val="00067B16"/>
    <w:rsid w:val="000823D9"/>
    <w:rsid w:val="00082769"/>
    <w:rsid w:val="00083036"/>
    <w:rsid w:val="00083D19"/>
    <w:rsid w:val="00083D6A"/>
    <w:rsid w:val="000855E0"/>
    <w:rsid w:val="0008674A"/>
    <w:rsid w:val="00087B86"/>
    <w:rsid w:val="00091A3B"/>
    <w:rsid w:val="00095CF1"/>
    <w:rsid w:val="00097A20"/>
    <w:rsid w:val="000A2AFF"/>
    <w:rsid w:val="000A4EBB"/>
    <w:rsid w:val="000B1D09"/>
    <w:rsid w:val="000B30A8"/>
    <w:rsid w:val="000B369F"/>
    <w:rsid w:val="000B6B2F"/>
    <w:rsid w:val="000C276C"/>
    <w:rsid w:val="000D6DD1"/>
    <w:rsid w:val="000E04CE"/>
    <w:rsid w:val="000E0AE0"/>
    <w:rsid w:val="000E65C8"/>
    <w:rsid w:val="000E724D"/>
    <w:rsid w:val="000F125E"/>
    <w:rsid w:val="00104447"/>
    <w:rsid w:val="001049C0"/>
    <w:rsid w:val="00113B5F"/>
    <w:rsid w:val="00115F58"/>
    <w:rsid w:val="00130B58"/>
    <w:rsid w:val="00130C4E"/>
    <w:rsid w:val="0013395E"/>
    <w:rsid w:val="0014143C"/>
    <w:rsid w:val="00151E40"/>
    <w:rsid w:val="00156B6F"/>
    <w:rsid w:val="00160480"/>
    <w:rsid w:val="00180570"/>
    <w:rsid w:val="00193560"/>
    <w:rsid w:val="001A2512"/>
    <w:rsid w:val="001A4E4C"/>
    <w:rsid w:val="001A5586"/>
    <w:rsid w:val="001B5DBD"/>
    <w:rsid w:val="001C38C7"/>
    <w:rsid w:val="001C6435"/>
    <w:rsid w:val="001D4041"/>
    <w:rsid w:val="001D7DA4"/>
    <w:rsid w:val="001E06B9"/>
    <w:rsid w:val="001E4CF9"/>
    <w:rsid w:val="001E7051"/>
    <w:rsid w:val="00216DC6"/>
    <w:rsid w:val="00216DE7"/>
    <w:rsid w:val="0021784B"/>
    <w:rsid w:val="002200D7"/>
    <w:rsid w:val="002242B3"/>
    <w:rsid w:val="002242D3"/>
    <w:rsid w:val="00225EFA"/>
    <w:rsid w:val="0023584F"/>
    <w:rsid w:val="00236B12"/>
    <w:rsid w:val="002424E4"/>
    <w:rsid w:val="00244BC4"/>
    <w:rsid w:val="00247535"/>
    <w:rsid w:val="002519AC"/>
    <w:rsid w:val="00257029"/>
    <w:rsid w:val="00261DD5"/>
    <w:rsid w:val="00267DC3"/>
    <w:rsid w:val="00272971"/>
    <w:rsid w:val="00273F64"/>
    <w:rsid w:val="002768C0"/>
    <w:rsid w:val="002816EA"/>
    <w:rsid w:val="00282706"/>
    <w:rsid w:val="0028297C"/>
    <w:rsid w:val="002834F4"/>
    <w:rsid w:val="00295AF9"/>
    <w:rsid w:val="002A367B"/>
    <w:rsid w:val="002B3A41"/>
    <w:rsid w:val="002B6B13"/>
    <w:rsid w:val="002B7CE4"/>
    <w:rsid w:val="002C7859"/>
    <w:rsid w:val="002D12BB"/>
    <w:rsid w:val="002D562C"/>
    <w:rsid w:val="002E1330"/>
    <w:rsid w:val="002E61ED"/>
    <w:rsid w:val="002F4E32"/>
    <w:rsid w:val="002F5D85"/>
    <w:rsid w:val="002F7069"/>
    <w:rsid w:val="002F754E"/>
    <w:rsid w:val="003003B2"/>
    <w:rsid w:val="003016A1"/>
    <w:rsid w:val="00301EA7"/>
    <w:rsid w:val="00303D15"/>
    <w:rsid w:val="00307109"/>
    <w:rsid w:val="00314D7A"/>
    <w:rsid w:val="00321017"/>
    <w:rsid w:val="00325EA1"/>
    <w:rsid w:val="00330130"/>
    <w:rsid w:val="0033111C"/>
    <w:rsid w:val="00335769"/>
    <w:rsid w:val="0033795A"/>
    <w:rsid w:val="003437B8"/>
    <w:rsid w:val="00346006"/>
    <w:rsid w:val="003504A5"/>
    <w:rsid w:val="00351F65"/>
    <w:rsid w:val="0035384C"/>
    <w:rsid w:val="00354261"/>
    <w:rsid w:val="0036428F"/>
    <w:rsid w:val="0037490A"/>
    <w:rsid w:val="0038664D"/>
    <w:rsid w:val="003873C4"/>
    <w:rsid w:val="00387BE3"/>
    <w:rsid w:val="0039597E"/>
    <w:rsid w:val="00395B6B"/>
    <w:rsid w:val="003A6190"/>
    <w:rsid w:val="003B0974"/>
    <w:rsid w:val="003B3EB8"/>
    <w:rsid w:val="003B5276"/>
    <w:rsid w:val="003B6A2C"/>
    <w:rsid w:val="003B6F34"/>
    <w:rsid w:val="003C7568"/>
    <w:rsid w:val="003D3596"/>
    <w:rsid w:val="003E459D"/>
    <w:rsid w:val="003E736A"/>
    <w:rsid w:val="003F0BB9"/>
    <w:rsid w:val="003F37A4"/>
    <w:rsid w:val="00402F24"/>
    <w:rsid w:val="00405876"/>
    <w:rsid w:val="004072A3"/>
    <w:rsid w:val="00413FEF"/>
    <w:rsid w:val="004157A4"/>
    <w:rsid w:val="00420EAA"/>
    <w:rsid w:val="00431CFC"/>
    <w:rsid w:val="00440A23"/>
    <w:rsid w:val="00452F0F"/>
    <w:rsid w:val="004552BA"/>
    <w:rsid w:val="00464FE4"/>
    <w:rsid w:val="00471F57"/>
    <w:rsid w:val="00472B38"/>
    <w:rsid w:val="00474D7A"/>
    <w:rsid w:val="00476783"/>
    <w:rsid w:val="004804EE"/>
    <w:rsid w:val="004852ED"/>
    <w:rsid w:val="00485E99"/>
    <w:rsid w:val="00492530"/>
    <w:rsid w:val="00492F71"/>
    <w:rsid w:val="004A64C7"/>
    <w:rsid w:val="004C1C1C"/>
    <w:rsid w:val="004C3A81"/>
    <w:rsid w:val="004C4428"/>
    <w:rsid w:val="004D1D03"/>
    <w:rsid w:val="004D7D96"/>
    <w:rsid w:val="004E2DCD"/>
    <w:rsid w:val="004E4EE1"/>
    <w:rsid w:val="004F4655"/>
    <w:rsid w:val="00500141"/>
    <w:rsid w:val="00500854"/>
    <w:rsid w:val="00504116"/>
    <w:rsid w:val="00505577"/>
    <w:rsid w:val="005158FE"/>
    <w:rsid w:val="00524EF6"/>
    <w:rsid w:val="00533621"/>
    <w:rsid w:val="005535A9"/>
    <w:rsid w:val="00554D3F"/>
    <w:rsid w:val="0055703F"/>
    <w:rsid w:val="005609DA"/>
    <w:rsid w:val="00564F6D"/>
    <w:rsid w:val="005658E9"/>
    <w:rsid w:val="005911D3"/>
    <w:rsid w:val="0059138F"/>
    <w:rsid w:val="00592BA1"/>
    <w:rsid w:val="00597227"/>
    <w:rsid w:val="00597273"/>
    <w:rsid w:val="005A5919"/>
    <w:rsid w:val="005B20DD"/>
    <w:rsid w:val="005B5335"/>
    <w:rsid w:val="005B6060"/>
    <w:rsid w:val="005C013E"/>
    <w:rsid w:val="005D104B"/>
    <w:rsid w:val="005D1951"/>
    <w:rsid w:val="005D1E8D"/>
    <w:rsid w:val="005D24B5"/>
    <w:rsid w:val="005D69F3"/>
    <w:rsid w:val="005E54C9"/>
    <w:rsid w:val="005F1DC3"/>
    <w:rsid w:val="005F5B5B"/>
    <w:rsid w:val="005F6BF2"/>
    <w:rsid w:val="005F739F"/>
    <w:rsid w:val="00604C45"/>
    <w:rsid w:val="006131FF"/>
    <w:rsid w:val="0062170F"/>
    <w:rsid w:val="00625223"/>
    <w:rsid w:val="00625BB9"/>
    <w:rsid w:val="00633460"/>
    <w:rsid w:val="00633F77"/>
    <w:rsid w:val="006373B2"/>
    <w:rsid w:val="00641B6C"/>
    <w:rsid w:val="00641BE7"/>
    <w:rsid w:val="0064214A"/>
    <w:rsid w:val="00651E58"/>
    <w:rsid w:val="00653CAE"/>
    <w:rsid w:val="006565CF"/>
    <w:rsid w:val="00664349"/>
    <w:rsid w:val="006645AE"/>
    <w:rsid w:val="00665A5C"/>
    <w:rsid w:val="00671B3C"/>
    <w:rsid w:val="006739D8"/>
    <w:rsid w:val="0067785D"/>
    <w:rsid w:val="00683214"/>
    <w:rsid w:val="00693FD3"/>
    <w:rsid w:val="00694012"/>
    <w:rsid w:val="006965B3"/>
    <w:rsid w:val="006A008A"/>
    <w:rsid w:val="006B1751"/>
    <w:rsid w:val="006B75CD"/>
    <w:rsid w:val="006B7E5F"/>
    <w:rsid w:val="006D0A3D"/>
    <w:rsid w:val="006D30B2"/>
    <w:rsid w:val="006E1D3E"/>
    <w:rsid w:val="006E5AEF"/>
    <w:rsid w:val="006F3FCE"/>
    <w:rsid w:val="006F3FFB"/>
    <w:rsid w:val="007043BF"/>
    <w:rsid w:val="00706C70"/>
    <w:rsid w:val="00707C83"/>
    <w:rsid w:val="0071371D"/>
    <w:rsid w:val="007179E5"/>
    <w:rsid w:val="00717BD6"/>
    <w:rsid w:val="00721CC7"/>
    <w:rsid w:val="0072762F"/>
    <w:rsid w:val="00732D32"/>
    <w:rsid w:val="00734CD7"/>
    <w:rsid w:val="00741135"/>
    <w:rsid w:val="00744FDB"/>
    <w:rsid w:val="007471EE"/>
    <w:rsid w:val="00747E20"/>
    <w:rsid w:val="00751083"/>
    <w:rsid w:val="00753C7C"/>
    <w:rsid w:val="00756AFB"/>
    <w:rsid w:val="007571F9"/>
    <w:rsid w:val="0076055C"/>
    <w:rsid w:val="00766D43"/>
    <w:rsid w:val="00775695"/>
    <w:rsid w:val="00780D1C"/>
    <w:rsid w:val="00783314"/>
    <w:rsid w:val="007867B1"/>
    <w:rsid w:val="00791185"/>
    <w:rsid w:val="00796EB7"/>
    <w:rsid w:val="007B120A"/>
    <w:rsid w:val="007B2C18"/>
    <w:rsid w:val="007B3435"/>
    <w:rsid w:val="007B484A"/>
    <w:rsid w:val="007C2861"/>
    <w:rsid w:val="007C4993"/>
    <w:rsid w:val="007D0CDE"/>
    <w:rsid w:val="007D1BE0"/>
    <w:rsid w:val="007D4694"/>
    <w:rsid w:val="007D678C"/>
    <w:rsid w:val="007D713D"/>
    <w:rsid w:val="007D7435"/>
    <w:rsid w:val="007D74DC"/>
    <w:rsid w:val="007D79E0"/>
    <w:rsid w:val="007E06F8"/>
    <w:rsid w:val="007E47C5"/>
    <w:rsid w:val="007F6339"/>
    <w:rsid w:val="007F7100"/>
    <w:rsid w:val="008008BF"/>
    <w:rsid w:val="00801FD9"/>
    <w:rsid w:val="00804354"/>
    <w:rsid w:val="0080443B"/>
    <w:rsid w:val="008202FD"/>
    <w:rsid w:val="00820555"/>
    <w:rsid w:val="008211CB"/>
    <w:rsid w:val="008239AA"/>
    <w:rsid w:val="00823EF6"/>
    <w:rsid w:val="00824EBB"/>
    <w:rsid w:val="008250CA"/>
    <w:rsid w:val="008251D3"/>
    <w:rsid w:val="00827BDA"/>
    <w:rsid w:val="00831D13"/>
    <w:rsid w:val="00832BE5"/>
    <w:rsid w:val="00844525"/>
    <w:rsid w:val="00856380"/>
    <w:rsid w:val="00860F2B"/>
    <w:rsid w:val="00863803"/>
    <w:rsid w:val="00864FBE"/>
    <w:rsid w:val="00865EFD"/>
    <w:rsid w:val="00867484"/>
    <w:rsid w:val="0086765F"/>
    <w:rsid w:val="00870488"/>
    <w:rsid w:val="008751F2"/>
    <w:rsid w:val="008758DA"/>
    <w:rsid w:val="00880C1B"/>
    <w:rsid w:val="00880CBF"/>
    <w:rsid w:val="00882407"/>
    <w:rsid w:val="008841CF"/>
    <w:rsid w:val="008964CF"/>
    <w:rsid w:val="008A1110"/>
    <w:rsid w:val="008A2213"/>
    <w:rsid w:val="008A74D5"/>
    <w:rsid w:val="008B3C0F"/>
    <w:rsid w:val="008B479B"/>
    <w:rsid w:val="008C2FDB"/>
    <w:rsid w:val="008D1A10"/>
    <w:rsid w:val="008D2E13"/>
    <w:rsid w:val="008D349A"/>
    <w:rsid w:val="008D39CE"/>
    <w:rsid w:val="008D477A"/>
    <w:rsid w:val="008E119E"/>
    <w:rsid w:val="008E2102"/>
    <w:rsid w:val="008F6392"/>
    <w:rsid w:val="00906DC5"/>
    <w:rsid w:val="00907F42"/>
    <w:rsid w:val="00911E5F"/>
    <w:rsid w:val="00912B6F"/>
    <w:rsid w:val="00913339"/>
    <w:rsid w:val="00923815"/>
    <w:rsid w:val="00926106"/>
    <w:rsid w:val="00926B2B"/>
    <w:rsid w:val="00941BAD"/>
    <w:rsid w:val="00945348"/>
    <w:rsid w:val="00950E29"/>
    <w:rsid w:val="009556F5"/>
    <w:rsid w:val="0095722D"/>
    <w:rsid w:val="00961503"/>
    <w:rsid w:val="00963F7B"/>
    <w:rsid w:val="009717E7"/>
    <w:rsid w:val="009809B0"/>
    <w:rsid w:val="00984922"/>
    <w:rsid w:val="009868BF"/>
    <w:rsid w:val="00993E9E"/>
    <w:rsid w:val="00997809"/>
    <w:rsid w:val="009A012C"/>
    <w:rsid w:val="009A3A62"/>
    <w:rsid w:val="009A7CD0"/>
    <w:rsid w:val="009B4C31"/>
    <w:rsid w:val="009C0625"/>
    <w:rsid w:val="009C2AD0"/>
    <w:rsid w:val="009D066A"/>
    <w:rsid w:val="009D235F"/>
    <w:rsid w:val="009D6F5F"/>
    <w:rsid w:val="009E0E56"/>
    <w:rsid w:val="009E7CC0"/>
    <w:rsid w:val="009F1E8B"/>
    <w:rsid w:val="009F1F57"/>
    <w:rsid w:val="009F5734"/>
    <w:rsid w:val="00A060B8"/>
    <w:rsid w:val="00A11BD8"/>
    <w:rsid w:val="00A20F95"/>
    <w:rsid w:val="00A228A7"/>
    <w:rsid w:val="00A23976"/>
    <w:rsid w:val="00A2550F"/>
    <w:rsid w:val="00A31A78"/>
    <w:rsid w:val="00A34224"/>
    <w:rsid w:val="00A45404"/>
    <w:rsid w:val="00A4635D"/>
    <w:rsid w:val="00A47916"/>
    <w:rsid w:val="00A504A4"/>
    <w:rsid w:val="00A617D6"/>
    <w:rsid w:val="00A628F6"/>
    <w:rsid w:val="00A64CC4"/>
    <w:rsid w:val="00A74A87"/>
    <w:rsid w:val="00A858D1"/>
    <w:rsid w:val="00A90549"/>
    <w:rsid w:val="00A9481C"/>
    <w:rsid w:val="00A96D1F"/>
    <w:rsid w:val="00A96D61"/>
    <w:rsid w:val="00AA22A7"/>
    <w:rsid w:val="00AA23C4"/>
    <w:rsid w:val="00AA354B"/>
    <w:rsid w:val="00AA55AC"/>
    <w:rsid w:val="00AA6D25"/>
    <w:rsid w:val="00AB1E9F"/>
    <w:rsid w:val="00AB23FB"/>
    <w:rsid w:val="00AB242F"/>
    <w:rsid w:val="00AB44D3"/>
    <w:rsid w:val="00AC4AE7"/>
    <w:rsid w:val="00AC6FF1"/>
    <w:rsid w:val="00AC7A68"/>
    <w:rsid w:val="00AC7FC2"/>
    <w:rsid w:val="00AE4608"/>
    <w:rsid w:val="00AF160A"/>
    <w:rsid w:val="00AF7B22"/>
    <w:rsid w:val="00B0026A"/>
    <w:rsid w:val="00B009A8"/>
    <w:rsid w:val="00B03556"/>
    <w:rsid w:val="00B05D87"/>
    <w:rsid w:val="00B12871"/>
    <w:rsid w:val="00B154E0"/>
    <w:rsid w:val="00B15B5C"/>
    <w:rsid w:val="00B2247B"/>
    <w:rsid w:val="00B25653"/>
    <w:rsid w:val="00B35496"/>
    <w:rsid w:val="00B378CC"/>
    <w:rsid w:val="00B40342"/>
    <w:rsid w:val="00B40776"/>
    <w:rsid w:val="00B47F5A"/>
    <w:rsid w:val="00B50F2D"/>
    <w:rsid w:val="00B5602A"/>
    <w:rsid w:val="00B64D4A"/>
    <w:rsid w:val="00B657F0"/>
    <w:rsid w:val="00B65914"/>
    <w:rsid w:val="00B74496"/>
    <w:rsid w:val="00B82481"/>
    <w:rsid w:val="00B8438E"/>
    <w:rsid w:val="00B90F61"/>
    <w:rsid w:val="00B95C52"/>
    <w:rsid w:val="00BA034A"/>
    <w:rsid w:val="00BA1FD3"/>
    <w:rsid w:val="00BA4043"/>
    <w:rsid w:val="00BB2F35"/>
    <w:rsid w:val="00BB4EE2"/>
    <w:rsid w:val="00BC5004"/>
    <w:rsid w:val="00BD241D"/>
    <w:rsid w:val="00BD2C2A"/>
    <w:rsid w:val="00BD487C"/>
    <w:rsid w:val="00BE1A49"/>
    <w:rsid w:val="00BF1A14"/>
    <w:rsid w:val="00BF533A"/>
    <w:rsid w:val="00BF608F"/>
    <w:rsid w:val="00C0097E"/>
    <w:rsid w:val="00C055AC"/>
    <w:rsid w:val="00C11D59"/>
    <w:rsid w:val="00C14001"/>
    <w:rsid w:val="00C14609"/>
    <w:rsid w:val="00C1512B"/>
    <w:rsid w:val="00C153E7"/>
    <w:rsid w:val="00C172DB"/>
    <w:rsid w:val="00C2417A"/>
    <w:rsid w:val="00C3732A"/>
    <w:rsid w:val="00C62753"/>
    <w:rsid w:val="00C63084"/>
    <w:rsid w:val="00C65FB3"/>
    <w:rsid w:val="00C6622B"/>
    <w:rsid w:val="00C73971"/>
    <w:rsid w:val="00C741AF"/>
    <w:rsid w:val="00C86F48"/>
    <w:rsid w:val="00C9261A"/>
    <w:rsid w:val="00CA0809"/>
    <w:rsid w:val="00CA357F"/>
    <w:rsid w:val="00CA35A4"/>
    <w:rsid w:val="00CA391F"/>
    <w:rsid w:val="00CA62BD"/>
    <w:rsid w:val="00CA6FF0"/>
    <w:rsid w:val="00CA7629"/>
    <w:rsid w:val="00CB331B"/>
    <w:rsid w:val="00CB546F"/>
    <w:rsid w:val="00CB6407"/>
    <w:rsid w:val="00CC046C"/>
    <w:rsid w:val="00CC13B1"/>
    <w:rsid w:val="00CC1E4C"/>
    <w:rsid w:val="00CC2FE6"/>
    <w:rsid w:val="00CC4CA4"/>
    <w:rsid w:val="00CC4D1D"/>
    <w:rsid w:val="00CE3F10"/>
    <w:rsid w:val="00CE59D1"/>
    <w:rsid w:val="00CE6AFC"/>
    <w:rsid w:val="00CF13A5"/>
    <w:rsid w:val="00CF3EC4"/>
    <w:rsid w:val="00CF6093"/>
    <w:rsid w:val="00D02B76"/>
    <w:rsid w:val="00D03448"/>
    <w:rsid w:val="00D30DEE"/>
    <w:rsid w:val="00D3677F"/>
    <w:rsid w:val="00D42762"/>
    <w:rsid w:val="00D437E1"/>
    <w:rsid w:val="00D449EA"/>
    <w:rsid w:val="00D4540D"/>
    <w:rsid w:val="00D478E1"/>
    <w:rsid w:val="00D50464"/>
    <w:rsid w:val="00D51C4E"/>
    <w:rsid w:val="00D562F5"/>
    <w:rsid w:val="00D60114"/>
    <w:rsid w:val="00D643C7"/>
    <w:rsid w:val="00D6689A"/>
    <w:rsid w:val="00D81F5E"/>
    <w:rsid w:val="00D836B8"/>
    <w:rsid w:val="00D87313"/>
    <w:rsid w:val="00D87980"/>
    <w:rsid w:val="00D9546D"/>
    <w:rsid w:val="00D971DC"/>
    <w:rsid w:val="00DA11D9"/>
    <w:rsid w:val="00DA19EF"/>
    <w:rsid w:val="00DA36A5"/>
    <w:rsid w:val="00DA6AF5"/>
    <w:rsid w:val="00DB7DF0"/>
    <w:rsid w:val="00DD2763"/>
    <w:rsid w:val="00DD533C"/>
    <w:rsid w:val="00DD6445"/>
    <w:rsid w:val="00DD6811"/>
    <w:rsid w:val="00DE3CDC"/>
    <w:rsid w:val="00DF1DE4"/>
    <w:rsid w:val="00DF29B4"/>
    <w:rsid w:val="00DF6A14"/>
    <w:rsid w:val="00E03675"/>
    <w:rsid w:val="00E04632"/>
    <w:rsid w:val="00E20041"/>
    <w:rsid w:val="00E225E7"/>
    <w:rsid w:val="00E26E10"/>
    <w:rsid w:val="00E41DBA"/>
    <w:rsid w:val="00E507DB"/>
    <w:rsid w:val="00E51E35"/>
    <w:rsid w:val="00E53E0D"/>
    <w:rsid w:val="00E547F3"/>
    <w:rsid w:val="00E600A5"/>
    <w:rsid w:val="00E60686"/>
    <w:rsid w:val="00E60F9C"/>
    <w:rsid w:val="00E63A7B"/>
    <w:rsid w:val="00E64120"/>
    <w:rsid w:val="00E6545C"/>
    <w:rsid w:val="00E67224"/>
    <w:rsid w:val="00E74525"/>
    <w:rsid w:val="00E75A45"/>
    <w:rsid w:val="00E81F6D"/>
    <w:rsid w:val="00E828A7"/>
    <w:rsid w:val="00E84FC6"/>
    <w:rsid w:val="00E92D74"/>
    <w:rsid w:val="00E93D69"/>
    <w:rsid w:val="00E96556"/>
    <w:rsid w:val="00E97D0A"/>
    <w:rsid w:val="00EA06E0"/>
    <w:rsid w:val="00EA10AB"/>
    <w:rsid w:val="00EA13F6"/>
    <w:rsid w:val="00EA23FF"/>
    <w:rsid w:val="00EA7479"/>
    <w:rsid w:val="00EB48A0"/>
    <w:rsid w:val="00EC1C8E"/>
    <w:rsid w:val="00EC652F"/>
    <w:rsid w:val="00ED09A3"/>
    <w:rsid w:val="00ED1F73"/>
    <w:rsid w:val="00ED43C5"/>
    <w:rsid w:val="00EE7881"/>
    <w:rsid w:val="00EF07B1"/>
    <w:rsid w:val="00EF4C4D"/>
    <w:rsid w:val="00F0180C"/>
    <w:rsid w:val="00F0250E"/>
    <w:rsid w:val="00F10FBB"/>
    <w:rsid w:val="00F11EFC"/>
    <w:rsid w:val="00F17585"/>
    <w:rsid w:val="00F21246"/>
    <w:rsid w:val="00F2391D"/>
    <w:rsid w:val="00F36326"/>
    <w:rsid w:val="00F3703F"/>
    <w:rsid w:val="00F47D15"/>
    <w:rsid w:val="00F57956"/>
    <w:rsid w:val="00F63716"/>
    <w:rsid w:val="00F7034F"/>
    <w:rsid w:val="00F72725"/>
    <w:rsid w:val="00F73270"/>
    <w:rsid w:val="00F777B3"/>
    <w:rsid w:val="00F82212"/>
    <w:rsid w:val="00F94ABE"/>
    <w:rsid w:val="00F95314"/>
    <w:rsid w:val="00F95553"/>
    <w:rsid w:val="00F95A08"/>
    <w:rsid w:val="00FA2113"/>
    <w:rsid w:val="00FA29D9"/>
    <w:rsid w:val="00FA6C62"/>
    <w:rsid w:val="00FC2A35"/>
    <w:rsid w:val="00FC60C1"/>
    <w:rsid w:val="00FD258E"/>
    <w:rsid w:val="00FE0DFF"/>
    <w:rsid w:val="00FE399C"/>
    <w:rsid w:val="00FE3A16"/>
    <w:rsid w:val="00FE4089"/>
    <w:rsid w:val="00FE7AA2"/>
    <w:rsid w:val="00FF3549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E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E0E56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CA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CA4"/>
    <w:rPr>
      <w:rFonts w:eastAsia="Times New Roman" w:cs="Times New Roman"/>
    </w:rPr>
  </w:style>
  <w:style w:type="paragraph" w:customStyle="1" w:styleId="naisf">
    <w:name w:val="naisf"/>
    <w:basedOn w:val="Normal"/>
    <w:uiPriority w:val="99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224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47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4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1B3C"/>
    <w:rPr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5B20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2AD0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B20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2AD0"/>
    <w:rPr>
      <w:rFonts w:cs="Times New Roman"/>
      <w:sz w:val="20"/>
      <w:lang w:eastAsia="en-US"/>
    </w:rPr>
  </w:style>
  <w:style w:type="paragraph" w:customStyle="1" w:styleId="naisvisr">
    <w:name w:val="naisvisr"/>
    <w:basedOn w:val="Normal"/>
    <w:uiPriority w:val="99"/>
    <w:rsid w:val="007F633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84F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F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FC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FC6"/>
    <w:rPr>
      <w:rFonts w:cs="Times New Roman"/>
      <w:b/>
      <w:bCs/>
      <w:lang w:eastAsia="en-US"/>
    </w:rPr>
  </w:style>
  <w:style w:type="paragraph" w:styleId="NoSpacing">
    <w:name w:val="No Spacing"/>
    <w:uiPriority w:val="99"/>
    <w:qFormat/>
    <w:rsid w:val="00AB44D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61D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1DD5"/>
    <w:rPr>
      <w:rFonts w:cs="Times New Roman"/>
      <w:sz w:val="22"/>
      <w:szCs w:val="22"/>
      <w:lang w:eastAsia="en-US"/>
    </w:rPr>
  </w:style>
  <w:style w:type="paragraph" w:customStyle="1" w:styleId="naisnod">
    <w:name w:val="naisnod"/>
    <w:basedOn w:val="Normal"/>
    <w:uiPriority w:val="99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locked/>
    <w:rsid w:val="00282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E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E0E56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CA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CA4"/>
    <w:rPr>
      <w:rFonts w:eastAsia="Times New Roman" w:cs="Times New Roman"/>
    </w:rPr>
  </w:style>
  <w:style w:type="paragraph" w:customStyle="1" w:styleId="naisf">
    <w:name w:val="naisf"/>
    <w:basedOn w:val="Normal"/>
    <w:uiPriority w:val="99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224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47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4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1B3C"/>
    <w:rPr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5B20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2AD0"/>
    <w:rPr>
      <w:rFonts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B20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2AD0"/>
    <w:rPr>
      <w:rFonts w:cs="Times New Roman"/>
      <w:sz w:val="20"/>
      <w:lang w:eastAsia="en-US"/>
    </w:rPr>
  </w:style>
  <w:style w:type="paragraph" w:customStyle="1" w:styleId="naisvisr">
    <w:name w:val="naisvisr"/>
    <w:basedOn w:val="Normal"/>
    <w:uiPriority w:val="99"/>
    <w:rsid w:val="007F633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84F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F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FC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FC6"/>
    <w:rPr>
      <w:rFonts w:cs="Times New Roman"/>
      <w:b/>
      <w:bCs/>
      <w:lang w:eastAsia="en-US"/>
    </w:rPr>
  </w:style>
  <w:style w:type="paragraph" w:styleId="NoSpacing">
    <w:name w:val="No Spacing"/>
    <w:uiPriority w:val="99"/>
    <w:qFormat/>
    <w:rsid w:val="00AB44D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61D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1DD5"/>
    <w:rPr>
      <w:rFonts w:cs="Times New Roman"/>
      <w:sz w:val="22"/>
      <w:szCs w:val="22"/>
      <w:lang w:eastAsia="en-US"/>
    </w:rPr>
  </w:style>
  <w:style w:type="paragraph" w:customStyle="1" w:styleId="naisnod">
    <w:name w:val="naisnod"/>
    <w:basedOn w:val="Normal"/>
    <w:uiPriority w:val="99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locked/>
    <w:rsid w:val="00282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155A-AB7A-40B0-AFFE-EEAF812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Nr.1075 "Valsts un pašvaldību institūciju amatu katalogs"</vt:lpstr>
    </vt:vector>
  </TitlesOfParts>
  <Manager>Baiba Pētersone</Manager>
  <Company>Valsts kanceleja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Nr.1075 "Valsts un pašvaldību institūciju amatu katalogs"</dc:title>
  <dc:creator>Baiba Medvecka</dc:creator>
  <dc:description>baiba.medvecka@mk.gov.lv; 67082907</dc:description>
  <cp:lastModifiedBy>Lilija Kampāne</cp:lastModifiedBy>
  <cp:revision>9</cp:revision>
  <cp:lastPrinted>2012-08-24T07:17:00Z</cp:lastPrinted>
  <dcterms:created xsi:type="dcterms:W3CDTF">2012-08-23T09:31:00Z</dcterms:created>
  <dcterms:modified xsi:type="dcterms:W3CDTF">2012-08-24T07:17:00Z</dcterms:modified>
</cp:coreProperties>
</file>